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A572" w14:textId="4F71EE06" w:rsidR="001E30CD" w:rsidRDefault="007E2BA2">
      <w:pPr>
        <w:pStyle w:val="BodyText"/>
        <w:tabs>
          <w:tab w:val="left" w:pos="1260"/>
        </w:tabs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Minutes of the </w:t>
      </w:r>
      <w:r w:rsidR="00D2669C">
        <w:rPr>
          <w:b/>
          <w:bCs/>
          <w:sz w:val="22"/>
          <w:szCs w:val="22"/>
        </w:rPr>
        <w:t>January</w:t>
      </w:r>
      <w:r w:rsidR="009F1DC0">
        <w:rPr>
          <w:b/>
          <w:bCs/>
          <w:sz w:val="22"/>
          <w:szCs w:val="22"/>
        </w:rPr>
        <w:t xml:space="preserve"> </w:t>
      </w:r>
      <w:r w:rsidR="00D2669C"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>, 201</w:t>
      </w:r>
      <w:r w:rsidR="00D2669C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Regular Meeting of the</w:t>
      </w:r>
      <w:r>
        <w:rPr>
          <w:b/>
          <w:bCs/>
          <w:sz w:val="22"/>
          <w:szCs w:val="22"/>
        </w:rPr>
        <w:br/>
        <w:t>Shepherd University Core Curriculum Committee</w:t>
      </w:r>
    </w:p>
    <w:p w14:paraId="4F7F28F0" w14:textId="77777777" w:rsidR="009F1DC0" w:rsidRDefault="009F1DC0">
      <w:pPr>
        <w:pStyle w:val="BodyText"/>
        <w:tabs>
          <w:tab w:val="left" w:pos="1260"/>
        </w:tabs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page" w:tblpXSpec="center" w:tblpY="-110"/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2628"/>
        <w:gridCol w:w="900"/>
        <w:gridCol w:w="5400"/>
        <w:gridCol w:w="900"/>
      </w:tblGrid>
      <w:tr w:rsidR="009F1DC0" w:rsidRPr="006F1288" w14:paraId="040F5A24" w14:textId="77777777" w:rsidTr="00E41D77">
        <w:trPr>
          <w:jc w:val="center"/>
        </w:trPr>
        <w:tc>
          <w:tcPr>
            <w:tcW w:w="35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073455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b/>
                <w:sz w:val="22"/>
                <w:szCs w:val="22"/>
              </w:rPr>
              <w:t>Voting members 2018-2019: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086F71F4" w14:textId="733A0150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Kathy Reid</w:t>
            </w:r>
            <w:r w:rsidR="009F1DC0" w:rsidRPr="006F1288">
              <w:rPr>
                <w:color w:val="000000" w:themeColor="text1"/>
                <w:sz w:val="22"/>
                <w:szCs w:val="22"/>
              </w:rPr>
              <w:t xml:space="preserve"> (ECON)</w:t>
            </w:r>
          </w:p>
        </w:tc>
        <w:tc>
          <w:tcPr>
            <w:tcW w:w="900" w:type="dxa"/>
            <w:shd w:val="clear" w:color="auto" w:fill="auto"/>
          </w:tcPr>
          <w:p w14:paraId="367365A6" w14:textId="7FC4337B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9F1DC0" w:rsidRPr="006F1288" w14:paraId="77C9FE7E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5C01B978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Karen Adams (CSME)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493518BE" w14:textId="60C538A4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15031D4C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vacant (FACS)</w:t>
            </w:r>
          </w:p>
        </w:tc>
        <w:tc>
          <w:tcPr>
            <w:tcW w:w="900" w:type="dxa"/>
            <w:shd w:val="clear" w:color="auto" w:fill="auto"/>
          </w:tcPr>
          <w:p w14:paraId="3387B225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7EB31005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1B352BCD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Kurtis Adams (MUSC)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1DE0D0B" w14:textId="091ACAF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1EA75A55" w14:textId="05C2BFAA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Stephanie Slocum-Schaffer</w:t>
            </w:r>
            <w:r w:rsidR="009F1DC0" w:rsidRPr="006F1288">
              <w:rPr>
                <w:color w:val="000000" w:themeColor="text1"/>
                <w:sz w:val="22"/>
                <w:szCs w:val="22"/>
              </w:rPr>
              <w:t xml:space="preserve"> (PSCI)</w:t>
            </w:r>
          </w:p>
        </w:tc>
        <w:tc>
          <w:tcPr>
            <w:tcW w:w="900" w:type="dxa"/>
            <w:shd w:val="clear" w:color="auto" w:fill="auto"/>
          </w:tcPr>
          <w:p w14:paraId="1541219C" w14:textId="1B3F8299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9F1DC0" w:rsidRPr="006F1288" w14:paraId="3CDD21DE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367A926B" w14:textId="1D2EDDB2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Jenny Penland</w:t>
            </w:r>
            <w:r w:rsidR="009F1DC0" w:rsidRPr="006F1288">
              <w:rPr>
                <w:color w:val="000000" w:themeColor="text1"/>
                <w:sz w:val="22"/>
                <w:szCs w:val="22"/>
              </w:rPr>
              <w:t xml:space="preserve"> (EDUC)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74FDD6D" w14:textId="29FBC95D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6DEE6E2B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056413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27FA1DAC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0A6909F5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Jacquelyn Cole (CHEM)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7AAFBA57" w14:textId="46B916E3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63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28CA09A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b/>
                <w:sz w:val="22"/>
                <w:szCs w:val="22"/>
              </w:rPr>
              <w:t>Non-voting ex officio members 2018-2019:</w:t>
            </w:r>
          </w:p>
        </w:tc>
      </w:tr>
      <w:tr w:rsidR="009F1DC0" w:rsidRPr="006F1288" w14:paraId="5E47BC53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41510E46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Larry Daily (PSYC)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5D9D7582" w14:textId="3C8F7E7E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7CB1F382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Allison Lott (Student Representative)</w:t>
            </w:r>
          </w:p>
        </w:tc>
        <w:tc>
          <w:tcPr>
            <w:tcW w:w="900" w:type="dxa"/>
            <w:shd w:val="clear" w:color="auto" w:fill="auto"/>
          </w:tcPr>
          <w:p w14:paraId="51D7C906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3C476192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0110B17F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proofErr w:type="spellStart"/>
            <w:r w:rsidRPr="006F1288">
              <w:rPr>
                <w:color w:val="000000" w:themeColor="text1"/>
                <w:sz w:val="22"/>
                <w:szCs w:val="22"/>
              </w:rPr>
              <w:t>Momodou</w:t>
            </w:r>
            <w:proofErr w:type="spellEnd"/>
            <w:r w:rsidRPr="006F1288">
              <w:rPr>
                <w:color w:val="000000" w:themeColor="text1"/>
                <w:sz w:val="22"/>
                <w:szCs w:val="22"/>
              </w:rPr>
              <w:t xml:space="preserve"> Darboe (SOCI)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7875F37B" w14:textId="3B68BB25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600AA52D" w14:textId="39158461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Mastrianni</w:t>
            </w:r>
            <w:proofErr w:type="spellEnd"/>
            <w:r w:rsidR="009F1DC0" w:rsidRPr="006F1288">
              <w:rPr>
                <w:sz w:val="22"/>
                <w:szCs w:val="22"/>
              </w:rPr>
              <w:t xml:space="preserve"> (Student Representative)</w:t>
            </w:r>
          </w:p>
        </w:tc>
        <w:tc>
          <w:tcPr>
            <w:tcW w:w="900" w:type="dxa"/>
            <w:shd w:val="clear" w:color="auto" w:fill="auto"/>
          </w:tcPr>
          <w:p w14:paraId="136F9F85" w14:textId="45AFE60B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9F1DC0" w:rsidRPr="006F1288" w14:paraId="7D461BF5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1976F6FB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David Gordon (HIST)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03EDC5F7" w14:textId="4681E1E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53D052D8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 xml:space="preserve">Tracy </w:t>
            </w:r>
            <w:proofErr w:type="spellStart"/>
            <w:r w:rsidRPr="006F1288">
              <w:rPr>
                <w:sz w:val="22"/>
                <w:szCs w:val="22"/>
              </w:rPr>
              <w:t>Seffers</w:t>
            </w:r>
            <w:proofErr w:type="spellEnd"/>
            <w:r w:rsidRPr="006F1288">
              <w:rPr>
                <w:sz w:val="22"/>
                <w:szCs w:val="22"/>
              </w:rPr>
              <w:t xml:space="preserve"> (Registrar)</w:t>
            </w:r>
          </w:p>
        </w:tc>
        <w:tc>
          <w:tcPr>
            <w:tcW w:w="900" w:type="dxa"/>
            <w:shd w:val="clear" w:color="auto" w:fill="auto"/>
          </w:tcPr>
          <w:p w14:paraId="7A07188F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446D8768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05AB8982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Karen Green (SOWK)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20C6EB50" w14:textId="3BE0436C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0A3E208D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Laura Renninger (Assessment Task Force Chair)</w:t>
            </w:r>
          </w:p>
        </w:tc>
        <w:tc>
          <w:tcPr>
            <w:tcW w:w="900" w:type="dxa"/>
            <w:shd w:val="clear" w:color="auto" w:fill="auto"/>
          </w:tcPr>
          <w:p w14:paraId="0C737573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45BC3F24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38F07753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Brad Hamann (CAT)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7C1E7D1F" w14:textId="25875CEE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38B30386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Julia Franks (Director of Student Success)</w:t>
            </w:r>
          </w:p>
        </w:tc>
        <w:tc>
          <w:tcPr>
            <w:tcW w:w="900" w:type="dxa"/>
            <w:shd w:val="clear" w:color="auto" w:fill="auto"/>
          </w:tcPr>
          <w:p w14:paraId="469B0FDC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38BB378D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61CF2836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Rhonda Hovatter (HPERS)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3467B2D" w14:textId="4560E086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21F06C34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Tom Segar (acting Multicultural Student Affairs Director)</w:t>
            </w:r>
          </w:p>
        </w:tc>
        <w:tc>
          <w:tcPr>
            <w:tcW w:w="900" w:type="dxa"/>
            <w:shd w:val="clear" w:color="auto" w:fill="auto"/>
          </w:tcPr>
          <w:p w14:paraId="1F73CE3A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6A955091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014EE3B5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Monica Larson (MCOM)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4A82552B" w14:textId="3092539D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050A383B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Jennifer Flora (Director of Student Engagement)</w:t>
            </w:r>
          </w:p>
        </w:tc>
        <w:tc>
          <w:tcPr>
            <w:tcW w:w="900" w:type="dxa"/>
            <w:shd w:val="clear" w:color="auto" w:fill="auto"/>
          </w:tcPr>
          <w:p w14:paraId="741BD3B2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03AFCCF3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7D40C315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Barbara Mott (NURS)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888F8DC" w14:textId="789E8D31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79BFF00D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Emily Gross (Academic Support Center Director)</w:t>
            </w:r>
          </w:p>
        </w:tc>
        <w:tc>
          <w:tcPr>
            <w:tcW w:w="900" w:type="dxa"/>
            <w:shd w:val="clear" w:color="auto" w:fill="auto"/>
          </w:tcPr>
          <w:p w14:paraId="536924A6" w14:textId="6FAC84E6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9F1DC0" w:rsidRPr="006F1288" w14:paraId="5E42CAC1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0A563530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proofErr w:type="spellStart"/>
            <w:r w:rsidRPr="006F1288">
              <w:rPr>
                <w:color w:val="000000" w:themeColor="text1"/>
                <w:sz w:val="22"/>
                <w:szCs w:val="22"/>
              </w:rPr>
              <w:t>Sytil</w:t>
            </w:r>
            <w:proofErr w:type="spellEnd"/>
            <w:r w:rsidRPr="006F1288">
              <w:rPr>
                <w:color w:val="000000" w:themeColor="text1"/>
                <w:sz w:val="22"/>
                <w:szCs w:val="22"/>
              </w:rPr>
              <w:t xml:space="preserve"> Murphy (IEPS)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28431AAD" w14:textId="28C5BB52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31632714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Heidi Hanrahan (C&amp;I Chair)</w:t>
            </w:r>
          </w:p>
        </w:tc>
        <w:tc>
          <w:tcPr>
            <w:tcW w:w="900" w:type="dxa"/>
            <w:shd w:val="clear" w:color="auto" w:fill="auto"/>
          </w:tcPr>
          <w:p w14:paraId="43DF0800" w14:textId="487370ED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262E66EA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43693763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Tim Nixon (EML)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67EB2AC" w14:textId="39A219A1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359944EE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Shannon Holliday (FYEX Director)</w:t>
            </w:r>
          </w:p>
        </w:tc>
        <w:tc>
          <w:tcPr>
            <w:tcW w:w="900" w:type="dxa"/>
            <w:shd w:val="clear" w:color="auto" w:fill="auto"/>
          </w:tcPr>
          <w:p w14:paraId="53F62D22" w14:textId="6E81F701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9F1DC0" w:rsidRPr="006F1288" w14:paraId="6590007E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5D2EF89F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Janine Scott (BADM)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E04CEE4" w14:textId="016AF666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4981E695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77AF62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4177C984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606FBCF6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Cindy Vance (ACCT)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9B10561" w14:textId="24F7EA59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5728362D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b/>
                <w:sz w:val="22"/>
                <w:szCs w:val="22"/>
              </w:rPr>
              <w:t>Chair:</w:t>
            </w:r>
          </w:p>
        </w:tc>
        <w:tc>
          <w:tcPr>
            <w:tcW w:w="900" w:type="dxa"/>
            <w:shd w:val="clear" w:color="auto" w:fill="auto"/>
          </w:tcPr>
          <w:p w14:paraId="3CB33151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9F1DC0" w:rsidRPr="006F1288" w14:paraId="5C0588F8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2B7AA5AB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proofErr w:type="spellStart"/>
            <w:r w:rsidRPr="006F1288">
              <w:rPr>
                <w:color w:val="000000" w:themeColor="text1"/>
                <w:sz w:val="22"/>
                <w:szCs w:val="22"/>
              </w:rPr>
              <w:t>Yanhong</w:t>
            </w:r>
            <w:proofErr w:type="spellEnd"/>
            <w:r w:rsidRPr="006F1288">
              <w:rPr>
                <w:color w:val="000000" w:themeColor="text1"/>
                <w:sz w:val="22"/>
                <w:szCs w:val="22"/>
              </w:rPr>
              <w:t xml:space="preserve"> Wang (Library)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B326D5C" w14:textId="0AEDCFE3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789A2CE6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Chris Lovelace</w:t>
            </w:r>
          </w:p>
        </w:tc>
        <w:tc>
          <w:tcPr>
            <w:tcW w:w="900" w:type="dxa"/>
            <w:shd w:val="clear" w:color="auto" w:fill="auto"/>
          </w:tcPr>
          <w:p w14:paraId="4DB96286" w14:textId="1547B5ED" w:rsidR="009F1DC0" w:rsidRPr="006F1288" w:rsidRDefault="0013567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9F1DC0" w:rsidRPr="006F1288" w14:paraId="60889592" w14:textId="77777777" w:rsidTr="00E41D77">
        <w:trPr>
          <w:jc w:val="center"/>
        </w:trPr>
        <w:tc>
          <w:tcPr>
            <w:tcW w:w="2628" w:type="dxa"/>
            <w:shd w:val="clear" w:color="auto" w:fill="auto"/>
          </w:tcPr>
          <w:p w14:paraId="5B646736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David Wing (BIOL)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5D869A5" w14:textId="604CE7F1" w:rsidR="009F1DC0" w:rsidRPr="006F1288" w:rsidRDefault="00D2669C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</w:tcPr>
          <w:p w14:paraId="4A59AF6A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AB527E" w14:textId="77777777" w:rsidR="009F1DC0" w:rsidRPr="006F1288" w:rsidRDefault="009F1DC0" w:rsidP="00E41D7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</w:tbl>
    <w:p w14:paraId="52902A24" w14:textId="20B5AB2E" w:rsidR="001E30CD" w:rsidRDefault="007E2BA2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055D8A">
        <w:rPr>
          <w:sz w:val="22"/>
          <w:szCs w:val="22"/>
        </w:rPr>
        <w:t>January</w:t>
      </w:r>
      <w:r w:rsidR="009F1DC0">
        <w:rPr>
          <w:sz w:val="22"/>
          <w:szCs w:val="22"/>
        </w:rPr>
        <w:t xml:space="preserve"> </w:t>
      </w:r>
      <w:r w:rsidR="00055D8A">
        <w:rPr>
          <w:sz w:val="22"/>
          <w:szCs w:val="22"/>
        </w:rPr>
        <w:t>16</w:t>
      </w:r>
      <w:r w:rsidR="00D34CA9">
        <w:rPr>
          <w:sz w:val="22"/>
          <w:szCs w:val="22"/>
        </w:rPr>
        <w:t>, 201</w:t>
      </w:r>
      <w:r w:rsidR="00055D8A">
        <w:rPr>
          <w:sz w:val="22"/>
          <w:szCs w:val="22"/>
        </w:rPr>
        <w:t>9</w:t>
      </w:r>
      <w:r>
        <w:rPr>
          <w:sz w:val="22"/>
          <w:szCs w:val="22"/>
        </w:rPr>
        <w:t xml:space="preserve"> meeting of the Shepherd University Core Curriculum Committee was held in the </w:t>
      </w:r>
      <w:r w:rsidR="003C7929">
        <w:rPr>
          <w:sz w:val="22"/>
          <w:szCs w:val="22"/>
        </w:rPr>
        <w:t>Cumberland Room</w:t>
      </w:r>
      <w:r>
        <w:rPr>
          <w:sz w:val="22"/>
          <w:szCs w:val="22"/>
        </w:rPr>
        <w:t xml:space="preserve"> of the </w:t>
      </w:r>
      <w:r w:rsidR="00D34CA9">
        <w:rPr>
          <w:sz w:val="22"/>
          <w:szCs w:val="22"/>
        </w:rPr>
        <w:t>Student Center</w:t>
      </w:r>
      <w:r>
        <w:rPr>
          <w:sz w:val="22"/>
          <w:szCs w:val="22"/>
        </w:rPr>
        <w:t xml:space="preserve">. Dr. </w:t>
      </w:r>
      <w:r w:rsidR="009F1DC0">
        <w:rPr>
          <w:sz w:val="22"/>
          <w:szCs w:val="22"/>
        </w:rPr>
        <w:t>Lovelace</w:t>
      </w:r>
      <w:r>
        <w:rPr>
          <w:sz w:val="22"/>
          <w:szCs w:val="22"/>
        </w:rPr>
        <w:t xml:space="preserve"> called the meeting to order at </w:t>
      </w:r>
      <w:r w:rsidR="0084390F">
        <w:rPr>
          <w:sz w:val="22"/>
          <w:szCs w:val="22"/>
        </w:rPr>
        <w:t>4:10</w:t>
      </w:r>
      <w:r>
        <w:rPr>
          <w:sz w:val="22"/>
          <w:szCs w:val="22"/>
        </w:rPr>
        <w:t xml:space="preserve"> p.m.</w:t>
      </w:r>
    </w:p>
    <w:p w14:paraId="7ACF7D64" w14:textId="77777777" w:rsidR="001E30CD" w:rsidRDefault="001E30CD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6CC1CD42" w14:textId="77777777" w:rsidR="009B2C81" w:rsidRPr="009B2C81" w:rsidRDefault="007E2BA2" w:rsidP="009815EC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Approval of the minutes from the meeting of </w:t>
      </w:r>
      <w:r w:rsidR="00670EE7">
        <w:rPr>
          <w:rFonts w:ascii="Times New Roman"/>
          <w:b/>
          <w:bCs/>
        </w:rPr>
        <w:t>11</w:t>
      </w:r>
      <w:r>
        <w:rPr>
          <w:rFonts w:ascii="Times New Roman"/>
          <w:b/>
          <w:bCs/>
        </w:rPr>
        <w:t>/</w:t>
      </w:r>
      <w:r w:rsidR="00670EE7">
        <w:rPr>
          <w:rFonts w:ascii="Times New Roman"/>
          <w:b/>
          <w:bCs/>
        </w:rPr>
        <w:t>28</w:t>
      </w:r>
      <w:r w:rsidR="00543B91">
        <w:rPr>
          <w:rFonts w:ascii="Times New Roman"/>
          <w:b/>
          <w:bCs/>
        </w:rPr>
        <w:t>/201</w:t>
      </w:r>
      <w:r w:rsidR="009F3389">
        <w:rPr>
          <w:rFonts w:ascii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br/>
      </w:r>
    </w:p>
    <w:p w14:paraId="7BFCB788" w14:textId="61ED6FFA" w:rsidR="001E30CD" w:rsidRDefault="0084390F" w:rsidP="009B2C8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4390F">
        <w:rPr>
          <w:rFonts w:ascii="Times New Roman" w:eastAsia="Times New Roman" w:hAnsi="Times New Roman" w:cs="Times New Roman"/>
          <w:bCs/>
        </w:rPr>
        <w:t xml:space="preserve">The Minutes of the </w:t>
      </w:r>
      <w:r w:rsidR="00670EE7">
        <w:rPr>
          <w:rFonts w:ascii="Times New Roman" w:eastAsia="Times New Roman" w:hAnsi="Times New Roman" w:cs="Times New Roman"/>
          <w:bCs/>
        </w:rPr>
        <w:t>November 28</w:t>
      </w:r>
      <w:r w:rsidR="00670EE7" w:rsidRPr="00670EE7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670EE7">
        <w:rPr>
          <w:rFonts w:ascii="Times New Roman" w:eastAsia="Times New Roman" w:hAnsi="Times New Roman" w:cs="Times New Roman"/>
          <w:bCs/>
        </w:rPr>
        <w:t xml:space="preserve"> </w:t>
      </w:r>
      <w:r w:rsidRPr="0084390F">
        <w:rPr>
          <w:rFonts w:ascii="Times New Roman" w:eastAsia="Times New Roman" w:hAnsi="Times New Roman" w:cs="Times New Roman"/>
          <w:bCs/>
        </w:rPr>
        <w:t xml:space="preserve">meeting were </w:t>
      </w:r>
      <w:r w:rsidR="009F3389">
        <w:rPr>
          <w:rFonts w:ascii="Times New Roman" w:eastAsia="Times New Roman" w:hAnsi="Times New Roman" w:cs="Times New Roman"/>
          <w:bCs/>
        </w:rPr>
        <w:t>approved</w:t>
      </w:r>
      <w:r w:rsidR="00670EE7">
        <w:rPr>
          <w:rFonts w:ascii="Times New Roman" w:eastAsia="Times New Roman" w:hAnsi="Times New Roman" w:cs="Times New Roman"/>
          <w:bCs/>
        </w:rPr>
        <w:t xml:space="preserve">, after </w:t>
      </w:r>
      <w:r w:rsidR="009B2C81">
        <w:rPr>
          <w:rFonts w:ascii="Times New Roman" w:eastAsia="Times New Roman" w:hAnsi="Times New Roman" w:cs="Times New Roman"/>
          <w:bCs/>
        </w:rPr>
        <w:t>a</w:t>
      </w:r>
      <w:r w:rsidR="00670EE7">
        <w:rPr>
          <w:rFonts w:ascii="Times New Roman" w:eastAsia="Times New Roman" w:hAnsi="Times New Roman" w:cs="Times New Roman"/>
          <w:bCs/>
        </w:rPr>
        <w:t xml:space="preserve"> minor correction to reflect that Dr. Lovelace was indeed present</w:t>
      </w:r>
      <w:r w:rsidRPr="0084390F">
        <w:rPr>
          <w:rFonts w:ascii="Times New Roman" w:eastAsia="Times New Roman" w:hAnsi="Times New Roman" w:cs="Times New Roman"/>
          <w:bCs/>
        </w:rPr>
        <w:t>.</w:t>
      </w:r>
      <w:r w:rsidRPr="0084390F">
        <w:rPr>
          <w:rFonts w:ascii="Times New Roman" w:eastAsia="Times New Roman" w:hAnsi="Times New Roman" w:cs="Times New Roman"/>
          <w:bCs/>
        </w:rPr>
        <w:br/>
      </w:r>
    </w:p>
    <w:p w14:paraId="3F0452A7" w14:textId="7FA0AC84" w:rsidR="00670EE7" w:rsidRPr="00670EE7" w:rsidRDefault="00670EE7" w:rsidP="006D64B8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</w:rPr>
      </w:pPr>
      <w:r w:rsidRPr="00644803">
        <w:rPr>
          <w:rFonts w:ascii="Times New Roman"/>
          <w:b/>
          <w:bCs/>
        </w:rPr>
        <w:t>Reports</w:t>
      </w:r>
      <w:r w:rsidR="007E2BA2" w:rsidRPr="00535C81">
        <w:rPr>
          <w:rFonts w:ascii="Times New Roman" w:eastAsia="Times New Roman" w:hAnsi="Times New Roman" w:cs="Times New Roman"/>
        </w:rPr>
        <w:br/>
      </w:r>
    </w:p>
    <w:p w14:paraId="7731CBB6" w14:textId="23E3B958" w:rsidR="00670EE7" w:rsidRPr="00670EE7" w:rsidRDefault="00670EE7" w:rsidP="00670E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Dr. Hanrahan was not present, so no C&amp;I report was delivered.</w:t>
      </w:r>
    </w:p>
    <w:p w14:paraId="3E5FBBBB" w14:textId="77777777" w:rsidR="00670EE7" w:rsidRDefault="00670EE7" w:rsidP="00670EE7">
      <w:pPr>
        <w:pStyle w:val="ListParagraph"/>
        <w:spacing w:after="0" w:line="240" w:lineRule="auto"/>
        <w:rPr>
          <w:rFonts w:ascii="Times New Roman"/>
          <w:b/>
          <w:bCs/>
        </w:rPr>
      </w:pPr>
    </w:p>
    <w:p w14:paraId="60674BB8" w14:textId="5ED20FC5" w:rsidR="00670EE7" w:rsidRPr="00670EE7" w:rsidRDefault="00670EE7" w:rsidP="00670E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/>
          <w:bCs/>
        </w:rPr>
        <w:t xml:space="preserve">Ms. Holliday spoke on Dean </w:t>
      </w:r>
      <w:proofErr w:type="spellStart"/>
      <w:r>
        <w:rPr>
          <w:rFonts w:ascii="Times New Roman"/>
          <w:bCs/>
        </w:rPr>
        <w:t>Renninger</w:t>
      </w:r>
      <w:r>
        <w:rPr>
          <w:rFonts w:ascii="Times New Roman"/>
          <w:bCs/>
        </w:rPr>
        <w:t>’</w:t>
      </w:r>
      <w:r>
        <w:rPr>
          <w:rFonts w:ascii="Times New Roman"/>
          <w:bCs/>
        </w:rPr>
        <w:t>s</w:t>
      </w:r>
      <w:proofErr w:type="spellEnd"/>
      <w:r>
        <w:rPr>
          <w:rFonts w:ascii="Times New Roman"/>
          <w:bCs/>
        </w:rPr>
        <w:t xml:space="preserve"> behalf to deliver the Assessment Subcommittee report. Ms. Holliday noted that all of the courses that are currently up for assessment have provided what </w:t>
      </w:r>
      <w:r w:rsidR="009B2C81">
        <w:rPr>
          <w:rFonts w:ascii="Times New Roman"/>
          <w:bCs/>
        </w:rPr>
        <w:t>is expected</w:t>
      </w:r>
      <w:r>
        <w:rPr>
          <w:rFonts w:ascii="Times New Roman"/>
          <w:bCs/>
        </w:rPr>
        <w:t xml:space="preserve">; there are no holes in Dean </w:t>
      </w:r>
      <w:proofErr w:type="spellStart"/>
      <w:r>
        <w:rPr>
          <w:rFonts w:ascii="Times New Roman"/>
          <w:bCs/>
        </w:rPr>
        <w:t>Renninger</w:t>
      </w:r>
      <w:r>
        <w:rPr>
          <w:rFonts w:ascii="Times New Roman"/>
          <w:bCs/>
        </w:rPr>
        <w:t>’</w:t>
      </w:r>
      <w:r>
        <w:rPr>
          <w:rFonts w:ascii="Times New Roman"/>
          <w:bCs/>
        </w:rPr>
        <w:t>s</w:t>
      </w:r>
      <w:proofErr w:type="spellEnd"/>
      <w:r>
        <w:rPr>
          <w:rFonts w:ascii="Times New Roman"/>
          <w:bCs/>
        </w:rPr>
        <w:t xml:space="preserve"> matrix. In addition, a new version of Weave has been released, and the CTL staff will hold training sessions on the new Weave on January 28</w:t>
      </w:r>
      <w:r w:rsidRPr="00670EE7">
        <w:rPr>
          <w:rFonts w:ascii="Times New Roman"/>
          <w:bCs/>
          <w:vertAlign w:val="superscript"/>
        </w:rPr>
        <w:t>th</w:t>
      </w:r>
      <w:r>
        <w:rPr>
          <w:rFonts w:ascii="Times New Roman"/>
          <w:bCs/>
        </w:rPr>
        <w:t xml:space="preserve"> and 29</w:t>
      </w:r>
      <w:r w:rsidRPr="00670EE7">
        <w:rPr>
          <w:rFonts w:ascii="Times New Roman"/>
          <w:bCs/>
          <w:vertAlign w:val="superscript"/>
        </w:rPr>
        <w:t>th</w:t>
      </w:r>
      <w:r>
        <w:rPr>
          <w:rFonts w:ascii="Times New Roman"/>
          <w:bCs/>
        </w:rPr>
        <w:t xml:space="preserve">. </w:t>
      </w:r>
      <w:r>
        <w:rPr>
          <w:rFonts w:ascii="Times New Roman" w:hAnsi="Times New Roman" w:cs="Times New Roman"/>
        </w:rPr>
        <w:t>All committee members are encouraged to attend one of those sessions</w:t>
      </w:r>
      <w:r w:rsidR="009F33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65097F9C" w14:textId="26E8C9E5" w:rsidR="00246EBE" w:rsidRPr="009B2C81" w:rsidRDefault="00670EE7" w:rsidP="00246EB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B2C81">
        <w:rPr>
          <w:rFonts w:ascii="Times New Roman" w:hAnsi="Times New Roman" w:cs="Times New Roman"/>
        </w:rPr>
        <w:t>Professor Green was not present, so no Course Substitution Subcommittee report was delivered</w:t>
      </w:r>
      <w:r w:rsidR="005C0224" w:rsidRPr="009B2C81">
        <w:rPr>
          <w:rFonts w:ascii="Times New Roman" w:hAnsi="Times New Roman" w:cs="Times New Roman"/>
        </w:rPr>
        <w:t>.</w:t>
      </w:r>
      <w:r w:rsidR="005C0224" w:rsidRPr="009B2C81">
        <w:rPr>
          <w:rFonts w:ascii="Times New Roman" w:hAnsi="Times New Roman" w:cs="Times New Roman"/>
        </w:rPr>
        <w:br/>
      </w:r>
    </w:p>
    <w:p w14:paraId="2D19345A" w14:textId="77777777" w:rsidR="00246EBE" w:rsidRPr="00246EBE" w:rsidRDefault="00670EE7" w:rsidP="00CD376A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Unfinished Business</w:t>
      </w:r>
      <w:r w:rsidR="00644803">
        <w:rPr>
          <w:rFonts w:ascii="Times New Roman"/>
        </w:rPr>
        <w:br/>
      </w:r>
    </w:p>
    <w:p w14:paraId="389E68A8" w14:textId="6F59EF0E" w:rsidR="00CE057D" w:rsidRPr="00CE057D" w:rsidRDefault="00CE057D" w:rsidP="00246E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</w:rPr>
        <w:t>A deferred discussion about Writing in the Major classes occurring in the senior year and in conjunction with the Capstone resumed</w:t>
      </w:r>
      <w:r w:rsidR="00644803">
        <w:rPr>
          <w:rFonts w:ascii="Times New Roman"/>
        </w:rPr>
        <w:t>.</w:t>
      </w:r>
      <w:r>
        <w:rPr>
          <w:rFonts w:ascii="Times New Roman"/>
        </w:rPr>
        <w:t xml:space="preserve"> Different representatives discussed how various departments at Shepherd and even other institutions handle the matter. Ms</w:t>
      </w:r>
      <w:r w:rsidR="004576F1">
        <w:rPr>
          <w:rFonts w:ascii="Times New Roman"/>
        </w:rPr>
        <w:t>. Gross suggested that Library f</w:t>
      </w:r>
      <w:r>
        <w:rPr>
          <w:rFonts w:ascii="Times New Roman"/>
        </w:rPr>
        <w:t xml:space="preserve">aculty, who are subject matter experts for each of the schools, </w:t>
      </w:r>
      <w:r>
        <w:rPr>
          <w:rFonts w:ascii="Times New Roman"/>
        </w:rPr>
        <w:lastRenderedPageBreak/>
        <w:t>might be a writing resource; they could, potentially, cover a course that a department or program cannot staff.</w:t>
      </w:r>
    </w:p>
    <w:p w14:paraId="1B40DBBD" w14:textId="77777777" w:rsidR="00CE057D" w:rsidRDefault="00CE057D" w:rsidP="00CE057D">
      <w:pPr>
        <w:pStyle w:val="ListParagraph"/>
        <w:spacing w:after="0" w:line="240" w:lineRule="auto"/>
        <w:rPr>
          <w:rFonts w:ascii="Times New Roman"/>
          <w:b/>
          <w:bCs/>
        </w:rPr>
      </w:pPr>
    </w:p>
    <w:p w14:paraId="373C7ADF" w14:textId="62B2F9FC" w:rsidR="00CE057D" w:rsidRDefault="00CE057D" w:rsidP="00246EBE">
      <w:pPr>
        <w:pStyle w:val="ListParagraph"/>
        <w:spacing w:after="0" w:line="240" w:lineRule="auto"/>
        <w:ind w:left="1440"/>
        <w:rPr>
          <w:rFonts w:ascii="Times New Roman"/>
          <w:bCs/>
        </w:rPr>
      </w:pPr>
      <w:r>
        <w:rPr>
          <w:rFonts w:ascii="Times New Roman"/>
          <w:bCs/>
        </w:rPr>
        <w:t>A motion was made to continue the conversation in February</w:t>
      </w:r>
      <w:r>
        <w:rPr>
          <w:rFonts w:ascii="Times New Roman"/>
          <w:bCs/>
        </w:rPr>
        <w:t>’</w:t>
      </w:r>
      <w:r>
        <w:rPr>
          <w:rFonts w:ascii="Times New Roman"/>
          <w:bCs/>
        </w:rPr>
        <w:t xml:space="preserve">s meeting, after representatives conduct more research into the practices of their departments and sister institutions. The motion was seconded and passed with </w:t>
      </w:r>
      <w:r w:rsidR="00BC469B">
        <w:rPr>
          <w:rFonts w:ascii="Times New Roman"/>
          <w:bCs/>
        </w:rPr>
        <w:t>thirteen (13) votes in favor</w:t>
      </w:r>
      <w:r w:rsidR="00E13A28">
        <w:rPr>
          <w:rFonts w:ascii="Times New Roman"/>
          <w:bCs/>
        </w:rPr>
        <w:t xml:space="preserve"> and</w:t>
      </w:r>
      <w:r w:rsidR="00BC469B">
        <w:rPr>
          <w:rFonts w:ascii="Times New Roman"/>
          <w:bCs/>
        </w:rPr>
        <w:t xml:space="preserve"> </w:t>
      </w:r>
      <w:r w:rsidR="00246EBE">
        <w:rPr>
          <w:rFonts w:ascii="Times New Roman"/>
          <w:bCs/>
        </w:rPr>
        <w:t>two (</w:t>
      </w:r>
      <w:r>
        <w:rPr>
          <w:rFonts w:ascii="Times New Roman"/>
          <w:bCs/>
        </w:rPr>
        <w:t>2</w:t>
      </w:r>
      <w:r w:rsidR="00246EBE">
        <w:rPr>
          <w:rFonts w:ascii="Times New Roman"/>
          <w:bCs/>
        </w:rPr>
        <w:t>)</w:t>
      </w:r>
      <w:r>
        <w:rPr>
          <w:rFonts w:ascii="Times New Roman"/>
          <w:bCs/>
        </w:rPr>
        <w:t xml:space="preserve"> votes against.</w:t>
      </w:r>
    </w:p>
    <w:p w14:paraId="642914C9" w14:textId="77777777" w:rsidR="00CE057D" w:rsidRDefault="00CE057D" w:rsidP="00CE057D">
      <w:pPr>
        <w:pStyle w:val="ListParagraph"/>
        <w:spacing w:after="0" w:line="240" w:lineRule="auto"/>
        <w:rPr>
          <w:rFonts w:ascii="Times New Roman"/>
          <w:bCs/>
        </w:rPr>
      </w:pPr>
    </w:p>
    <w:p w14:paraId="105D685E" w14:textId="1D77A5E2" w:rsidR="00CD376A" w:rsidRDefault="00CE057D" w:rsidP="00246EB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Cs/>
        </w:rPr>
        <w:t xml:space="preserve">Dr. Lovelace presented to the committee a motion from the Faculty Senate that would </w:t>
      </w:r>
      <w:r w:rsidR="00924BEA">
        <w:rPr>
          <w:rFonts w:ascii="Times New Roman"/>
          <w:bCs/>
        </w:rPr>
        <w:t xml:space="preserve">require </w:t>
      </w:r>
      <w:r>
        <w:rPr>
          <w:rFonts w:ascii="Times New Roman"/>
          <w:bCs/>
        </w:rPr>
        <w:t xml:space="preserve">the Chair of the Core Curriculum Committee to be elected from the </w:t>
      </w:r>
      <w:r w:rsidR="00924BEA">
        <w:rPr>
          <w:rFonts w:ascii="Times New Roman"/>
          <w:bCs/>
        </w:rPr>
        <w:t xml:space="preserve">voting membership of the </w:t>
      </w:r>
      <w:r>
        <w:rPr>
          <w:rFonts w:ascii="Times New Roman"/>
          <w:bCs/>
        </w:rPr>
        <w:t xml:space="preserve">Committee, rather than from the Faculty Senate. The motion was seconded, and discussion occurred, particularly in relation to departmental representation </w:t>
      </w:r>
      <w:r w:rsidR="00246EBE">
        <w:rPr>
          <w:rFonts w:ascii="Times New Roman"/>
          <w:bCs/>
        </w:rPr>
        <w:t>and whether the Committee Chair</w:t>
      </w:r>
      <w:r w:rsidR="00246EBE">
        <w:rPr>
          <w:rFonts w:ascii="Times New Roman"/>
          <w:bCs/>
        </w:rPr>
        <w:t>’</w:t>
      </w:r>
      <w:r w:rsidR="00246EBE">
        <w:rPr>
          <w:rFonts w:ascii="Times New Roman"/>
          <w:bCs/>
        </w:rPr>
        <w:t>s department loses its vote once its representative begins officiating at the meetings. The motion passed with six (6) votes</w:t>
      </w:r>
      <w:r w:rsidR="00924BEA">
        <w:rPr>
          <w:rFonts w:ascii="Times New Roman"/>
          <w:bCs/>
        </w:rPr>
        <w:t xml:space="preserve"> in the affirmative, including the chair</w:t>
      </w:r>
      <w:r w:rsidR="00246EBE">
        <w:rPr>
          <w:rFonts w:ascii="Times New Roman"/>
          <w:bCs/>
        </w:rPr>
        <w:t>,</w:t>
      </w:r>
      <w:r w:rsidR="00924BEA">
        <w:rPr>
          <w:rFonts w:ascii="Times New Roman"/>
          <w:bCs/>
        </w:rPr>
        <w:t xml:space="preserve"> and </w:t>
      </w:r>
      <w:r w:rsidR="00246EBE">
        <w:rPr>
          <w:rFonts w:ascii="Times New Roman"/>
          <w:bCs/>
        </w:rPr>
        <w:t>five (5) vote</w:t>
      </w:r>
      <w:r w:rsidR="00924BEA">
        <w:rPr>
          <w:rFonts w:ascii="Times New Roman"/>
          <w:bCs/>
        </w:rPr>
        <w:t>s</w:t>
      </w:r>
      <w:r w:rsidR="00246EBE">
        <w:rPr>
          <w:rFonts w:ascii="Times New Roman"/>
          <w:bCs/>
        </w:rPr>
        <w:t xml:space="preserve"> against.</w:t>
      </w:r>
      <w:r w:rsidR="00CD376A">
        <w:rPr>
          <w:rFonts w:ascii="Times New Roman"/>
        </w:rPr>
        <w:br/>
      </w:r>
    </w:p>
    <w:p w14:paraId="5E239581" w14:textId="72835A12" w:rsidR="00246EBE" w:rsidRPr="00246EBE" w:rsidRDefault="00246EBE" w:rsidP="00D34CA9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Second</w:t>
      </w:r>
      <w:r w:rsidR="00543B91" w:rsidRPr="00543B9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</w:t>
      </w:r>
      <w:r w:rsidR="00543B91" w:rsidRPr="00543B91">
        <w:rPr>
          <w:rFonts w:ascii="Times New Roman" w:eastAsia="Times New Roman" w:hAnsi="Times New Roman" w:cs="Times New Roman"/>
          <w:b/>
        </w:rPr>
        <w:t>eadings</w:t>
      </w:r>
      <w:r w:rsidR="00535C81">
        <w:rPr>
          <w:rFonts w:ascii="Times New Roman" w:eastAsia="Times New Roman" w:hAnsi="Times New Roman" w:cs="Times New Roman"/>
          <w:b/>
        </w:rPr>
        <w:br/>
      </w:r>
    </w:p>
    <w:p w14:paraId="6F34C00D" w14:textId="12B3879B" w:rsidR="009F3EBD" w:rsidRPr="00AD32A1" w:rsidRDefault="00C35BBF" w:rsidP="00246EB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46EBE">
        <w:rPr>
          <w:rFonts w:ascii="Times New Roman" w:hAnsi="Times New Roman" w:cs="Times New Roman"/>
        </w:rPr>
        <w:t>GWST</w:t>
      </w:r>
      <w:r w:rsidR="00246EBE">
        <w:rPr>
          <w:rFonts w:ascii="Times New Roman" w:hAnsi="Times New Roman" w:cs="Times New Roman"/>
        </w:rPr>
        <w:t>—A motion was made to add GSWT201 (Introduction to Gender and Women’s Studies) to the Core Curriculum as a Tier 2 Social Sciences course option.</w:t>
      </w:r>
      <w:r w:rsidR="009F3EBD">
        <w:rPr>
          <w:rFonts w:ascii="Times New Roman" w:hAnsi="Times New Roman" w:cs="Times New Roman"/>
        </w:rPr>
        <w:t xml:space="preserve"> The motion was seconded, and </w:t>
      </w:r>
      <w:r w:rsidR="008B1DAE">
        <w:rPr>
          <w:rFonts w:ascii="Times New Roman" w:hAnsi="Times New Roman" w:cs="Times New Roman"/>
        </w:rPr>
        <w:t xml:space="preserve">the </w:t>
      </w:r>
      <w:r w:rsidR="009F3EBD">
        <w:rPr>
          <w:rFonts w:ascii="Times New Roman" w:hAnsi="Times New Roman" w:cs="Times New Roman"/>
        </w:rPr>
        <w:t>motion passed with eleven (11) votes in favor and no opposing votes.</w:t>
      </w:r>
    </w:p>
    <w:p w14:paraId="620EB184" w14:textId="77777777" w:rsidR="00AD32A1" w:rsidRPr="009F3EBD" w:rsidRDefault="00AD32A1" w:rsidP="00AD32A1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</w:rPr>
      </w:pPr>
    </w:p>
    <w:p w14:paraId="3C14D48C" w14:textId="77777777" w:rsidR="00AD32A1" w:rsidRPr="00AD32A1" w:rsidRDefault="009F3EBD" w:rsidP="00246EB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FINC—A motion was made to add FINC250 (Financial Literacy and Wellbeing) to the Core Curriculum as a Tier 2 Wellness course option.</w:t>
      </w:r>
      <w:r w:rsidR="00996D7F">
        <w:rPr>
          <w:rFonts w:ascii="Times New Roman" w:hAnsi="Times New Roman" w:cs="Times New Roman"/>
        </w:rPr>
        <w:t xml:space="preserve"> The motion was seconded, and discussion occurred. Dr. Hovatter </w:t>
      </w:r>
      <w:r w:rsidR="00AD32A1">
        <w:rPr>
          <w:rFonts w:ascii="Times New Roman" w:hAnsi="Times New Roman" w:cs="Times New Roman"/>
        </w:rPr>
        <w:t>notified</w:t>
      </w:r>
      <w:r w:rsidR="00996D7F">
        <w:rPr>
          <w:rFonts w:ascii="Times New Roman" w:hAnsi="Times New Roman" w:cs="Times New Roman"/>
        </w:rPr>
        <w:t xml:space="preserve"> the Committee that HPERS is beginning to feel the adverse effects of decreasing enrollments and increasing options for students to fulfill their Wellness requirement. Coaches are contractually obligated to teach a limited number of courses each year, and in the </w:t>
      </w:r>
      <w:proofErr w:type="gramStart"/>
      <w:r w:rsidR="00996D7F">
        <w:rPr>
          <w:rFonts w:ascii="Times New Roman" w:hAnsi="Times New Roman" w:cs="Times New Roman"/>
        </w:rPr>
        <w:t>past</w:t>
      </w:r>
      <w:proofErr w:type="gramEnd"/>
      <w:r w:rsidR="00996D7F">
        <w:rPr>
          <w:rFonts w:ascii="Times New Roman" w:hAnsi="Times New Roman" w:cs="Times New Roman"/>
        </w:rPr>
        <w:t xml:space="preserve"> those have been primarily </w:t>
      </w:r>
      <w:r w:rsidR="00AD32A1">
        <w:rPr>
          <w:rFonts w:ascii="Times New Roman" w:hAnsi="Times New Roman" w:cs="Times New Roman"/>
        </w:rPr>
        <w:t>GSPE (Fitness for Life) classes. The motion passed unanimously with ten (10) votes.</w:t>
      </w:r>
      <w:r w:rsidR="002A0C1E">
        <w:rPr>
          <w:rFonts w:ascii="Times New Roman" w:hAnsi="Times New Roman" w:cs="Times New Roman"/>
        </w:rPr>
        <w:br/>
      </w:r>
    </w:p>
    <w:p w14:paraId="3F984A85" w14:textId="70D08D74" w:rsidR="00BE2E6E" w:rsidRPr="00AD32A1" w:rsidRDefault="00AD32A1" w:rsidP="00AD32A1">
      <w:pPr>
        <w:rPr>
          <w:rFonts w:eastAsia="Times New Roman"/>
          <w:b/>
          <w:sz w:val="22"/>
          <w:szCs w:val="22"/>
        </w:rPr>
      </w:pPr>
      <w:r w:rsidRPr="00AD32A1">
        <w:rPr>
          <w:b/>
          <w:sz w:val="22"/>
          <w:szCs w:val="22"/>
        </w:rPr>
        <w:t>V.</w:t>
      </w:r>
      <w:r w:rsidRPr="00AD32A1">
        <w:rPr>
          <w:b/>
          <w:sz w:val="22"/>
          <w:szCs w:val="22"/>
        </w:rPr>
        <w:tab/>
        <w:t>First Readings</w:t>
      </w:r>
      <w:r w:rsidR="002A0C1E" w:rsidRPr="00AD32A1">
        <w:rPr>
          <w:b/>
          <w:sz w:val="22"/>
          <w:szCs w:val="22"/>
        </w:rPr>
        <w:br/>
      </w:r>
    </w:p>
    <w:p w14:paraId="0BCF7E20" w14:textId="54243F21" w:rsidR="00AD32A1" w:rsidRPr="00AD32A1" w:rsidRDefault="00AD32A1" w:rsidP="00AD32A1">
      <w:pPr>
        <w:pStyle w:val="ListParagraph"/>
        <w:numPr>
          <w:ilvl w:val="0"/>
          <w:numId w:val="12"/>
        </w:numPr>
        <w:spacing w:after="0"/>
        <w:ind w:left="1440"/>
        <w:rPr>
          <w:rFonts w:ascii="Times New Roman" w:eastAsia="Times New Roman" w:hAnsi="Times New Roman" w:cs="Times New Roman"/>
        </w:rPr>
      </w:pPr>
      <w:r w:rsidRPr="00AD32A1">
        <w:rPr>
          <w:rFonts w:ascii="Times New Roman" w:eastAsia="Times New Roman" w:hAnsi="Times New Roman" w:cs="Times New Roman"/>
        </w:rPr>
        <w:t>MATH—No representative was present, so the consideration of changes to MATH101, 101A, and 101B was postponed until the February meeting.</w:t>
      </w:r>
    </w:p>
    <w:p w14:paraId="6C770E89" w14:textId="77777777" w:rsidR="00223A5F" w:rsidRPr="00AD32A1" w:rsidRDefault="00223A5F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6F825F10" w14:textId="720C94B4" w:rsidR="00223A5F" w:rsidRDefault="00AD32A1">
      <w:pPr>
        <w:pStyle w:val="Body"/>
        <w:spacing w:after="0" w:line="240" w:lineRule="auto"/>
        <w:rPr>
          <w:rFonts w:ascii="Times New Roman"/>
        </w:rPr>
      </w:pPr>
      <w:r>
        <w:rPr>
          <w:rFonts w:ascii="Times New Roman"/>
        </w:rPr>
        <w:t>The meeting was adjourned at 5:05</w:t>
      </w:r>
      <w:r w:rsidR="00223A5F">
        <w:rPr>
          <w:rFonts w:ascii="Times New Roman"/>
        </w:rPr>
        <w:t xml:space="preserve"> p.m.</w:t>
      </w:r>
    </w:p>
    <w:p w14:paraId="660FBE5F" w14:textId="77777777" w:rsidR="00223A5F" w:rsidRDefault="00223A5F">
      <w:pPr>
        <w:pStyle w:val="Body"/>
        <w:spacing w:after="0" w:line="240" w:lineRule="auto"/>
        <w:rPr>
          <w:rFonts w:ascii="Times New Roman"/>
        </w:rPr>
      </w:pPr>
    </w:p>
    <w:p w14:paraId="0BA98ACA" w14:textId="77777777" w:rsidR="00AD32A1" w:rsidRDefault="00AD32A1">
      <w:pPr>
        <w:pStyle w:val="Body"/>
        <w:spacing w:after="0" w:line="240" w:lineRule="auto"/>
        <w:rPr>
          <w:rFonts w:ascii="Times New Roman"/>
        </w:rPr>
      </w:pPr>
    </w:p>
    <w:p w14:paraId="726A9D11" w14:textId="430E0383" w:rsidR="001E30CD" w:rsidRDefault="007E2BA2">
      <w:pPr>
        <w:pStyle w:val="Body"/>
        <w:spacing w:after="0" w:line="240" w:lineRule="auto"/>
      </w:pPr>
      <w:r>
        <w:rPr>
          <w:rFonts w:ascii="Times New Roman"/>
        </w:rPr>
        <w:t>Respectfully submitted by</w:t>
      </w:r>
      <w:r w:rsidR="00AD32A1">
        <w:rPr>
          <w:rFonts w:ascii="Times New Roman"/>
        </w:rPr>
        <w:t xml:space="preserve"> Timothy K. Nixon, Ph.D.</w:t>
      </w:r>
    </w:p>
    <w:sectPr w:rsidR="001E30CD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CC11C" w14:textId="77777777" w:rsidR="00815422" w:rsidRDefault="00815422">
      <w:r>
        <w:separator/>
      </w:r>
    </w:p>
  </w:endnote>
  <w:endnote w:type="continuationSeparator" w:id="0">
    <w:p w14:paraId="5A6E587D" w14:textId="77777777" w:rsidR="00815422" w:rsidRDefault="0081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0811" w14:textId="77777777" w:rsidR="006526AF" w:rsidRDefault="006526AF">
    <w:pPr>
      <w:pStyle w:val="Footer"/>
      <w:tabs>
        <w:tab w:val="clear" w:pos="9360"/>
        <w:tab w:val="right" w:pos="9340"/>
      </w:tabs>
      <w:jc w:val="right"/>
    </w:pP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 w:rsidR="008B1DAE">
      <w:rPr>
        <w:rFonts w:ascii="Times New Roman" w:eastAsia="Times New Roman" w:hAnsi="Times New Roman" w:cs="Times New Roman"/>
        <w:b/>
        <w:bCs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AC9D9" w14:textId="77777777" w:rsidR="00815422" w:rsidRDefault="00815422">
      <w:r>
        <w:separator/>
      </w:r>
    </w:p>
  </w:footnote>
  <w:footnote w:type="continuationSeparator" w:id="0">
    <w:p w14:paraId="4FE02FEA" w14:textId="77777777" w:rsidR="00815422" w:rsidRDefault="0081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90FD1"/>
    <w:multiLevelType w:val="hybridMultilevel"/>
    <w:tmpl w:val="5CA0C4AE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3B26AC"/>
    <w:multiLevelType w:val="hybridMultilevel"/>
    <w:tmpl w:val="BF4A1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3D88"/>
    <w:multiLevelType w:val="hybridMultilevel"/>
    <w:tmpl w:val="6EEA8F48"/>
    <w:lvl w:ilvl="0" w:tplc="476C8C7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AD3132"/>
    <w:multiLevelType w:val="hybridMultilevel"/>
    <w:tmpl w:val="F08266B2"/>
    <w:lvl w:ilvl="0" w:tplc="260E4926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9E7B5E"/>
    <w:multiLevelType w:val="multilevel"/>
    <w:tmpl w:val="416890A6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4DFE4166"/>
    <w:multiLevelType w:val="hybridMultilevel"/>
    <w:tmpl w:val="6EEA8F48"/>
    <w:lvl w:ilvl="0" w:tplc="476C8C7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446F6"/>
    <w:multiLevelType w:val="hybridMultilevel"/>
    <w:tmpl w:val="1C3CA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B54518"/>
    <w:multiLevelType w:val="multilevel"/>
    <w:tmpl w:val="C034187C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lowerLetter"/>
      <w:lvlText w:val="%2."/>
      <w:lvlJc w:val="left"/>
      <w:rPr>
        <w:b/>
        <w:bCs/>
        <w:position w:val="0"/>
      </w:rPr>
    </w:lvl>
    <w:lvl w:ilvl="2">
      <w:start w:val="1"/>
      <w:numFmt w:val="lowerRoman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lowerLetter"/>
      <w:lvlText w:val="%5."/>
      <w:lvlJc w:val="left"/>
      <w:rPr>
        <w:b/>
        <w:bCs/>
        <w:position w:val="0"/>
      </w:rPr>
    </w:lvl>
    <w:lvl w:ilvl="5">
      <w:start w:val="1"/>
      <w:numFmt w:val="lowerRoman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lowerLetter"/>
      <w:lvlText w:val="%8."/>
      <w:lvlJc w:val="left"/>
      <w:rPr>
        <w:b/>
        <w:bCs/>
        <w:position w:val="0"/>
      </w:rPr>
    </w:lvl>
    <w:lvl w:ilvl="8">
      <w:start w:val="1"/>
      <w:numFmt w:val="lowerRoman"/>
      <w:lvlText w:val="%9."/>
      <w:lvlJc w:val="left"/>
      <w:rPr>
        <w:b/>
        <w:bCs/>
        <w:position w:val="0"/>
      </w:rPr>
    </w:lvl>
  </w:abstractNum>
  <w:abstractNum w:abstractNumId="8" w15:restartNumberingAfterBreak="0">
    <w:nsid w:val="5DB24F6C"/>
    <w:multiLevelType w:val="multilevel"/>
    <w:tmpl w:val="3854723A"/>
    <w:styleLink w:val="List0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lowerLetter"/>
      <w:lvlText w:val="%2."/>
      <w:lvlJc w:val="left"/>
      <w:rPr>
        <w:b/>
        <w:bCs/>
        <w:position w:val="0"/>
      </w:rPr>
    </w:lvl>
    <w:lvl w:ilvl="2">
      <w:start w:val="1"/>
      <w:numFmt w:val="lowerRoman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lowerLetter"/>
      <w:lvlText w:val="%5."/>
      <w:lvlJc w:val="left"/>
      <w:rPr>
        <w:b/>
        <w:bCs/>
        <w:position w:val="0"/>
      </w:rPr>
    </w:lvl>
    <w:lvl w:ilvl="5">
      <w:start w:val="1"/>
      <w:numFmt w:val="lowerRoman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lowerLetter"/>
      <w:lvlText w:val="%8."/>
      <w:lvlJc w:val="left"/>
      <w:rPr>
        <w:b/>
        <w:bCs/>
        <w:position w:val="0"/>
      </w:rPr>
    </w:lvl>
    <w:lvl w:ilvl="8">
      <w:start w:val="1"/>
      <w:numFmt w:val="lowerRoman"/>
      <w:lvlText w:val="%9."/>
      <w:lvlJc w:val="left"/>
      <w:rPr>
        <w:b/>
        <w:bCs/>
        <w:position w:val="0"/>
      </w:rPr>
    </w:lvl>
  </w:abstractNum>
  <w:abstractNum w:abstractNumId="9" w15:restartNumberingAfterBreak="0">
    <w:nsid w:val="64C10D03"/>
    <w:multiLevelType w:val="hybridMultilevel"/>
    <w:tmpl w:val="C9E879C2"/>
    <w:lvl w:ilvl="0" w:tplc="BA641292">
      <w:start w:val="2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54046"/>
    <w:multiLevelType w:val="hybridMultilevel"/>
    <w:tmpl w:val="995A8D8E"/>
    <w:lvl w:ilvl="0" w:tplc="B3AC4C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8"/>
    <w:lvlOverride w:ilvl="0">
      <w:lvl w:ilvl="0">
        <w:start w:val="1"/>
        <w:numFmt w:val="upperRoman"/>
        <w:lvlText w:val="%1."/>
        <w:lvlJc w:val="left"/>
        <w:rPr>
          <w:rFonts w:ascii="Times New Roman" w:hAnsi="Times New Roman" w:cs="Times New Roman" w:hint="default"/>
          <w:b/>
          <w:bCs/>
          <w:position w:val="0"/>
        </w:rPr>
      </w:lvl>
    </w:lvlOverride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CD"/>
    <w:rsid w:val="0004233D"/>
    <w:rsid w:val="00055D8A"/>
    <w:rsid w:val="001349BA"/>
    <w:rsid w:val="00135670"/>
    <w:rsid w:val="001722F1"/>
    <w:rsid w:val="00187651"/>
    <w:rsid w:val="001B7331"/>
    <w:rsid w:val="001E30CD"/>
    <w:rsid w:val="00223A5F"/>
    <w:rsid w:val="00226D38"/>
    <w:rsid w:val="00246EBE"/>
    <w:rsid w:val="00267166"/>
    <w:rsid w:val="002A0C1E"/>
    <w:rsid w:val="003B76B5"/>
    <w:rsid w:val="003C7929"/>
    <w:rsid w:val="004576F1"/>
    <w:rsid w:val="00484674"/>
    <w:rsid w:val="00485349"/>
    <w:rsid w:val="00535C81"/>
    <w:rsid w:val="00543B91"/>
    <w:rsid w:val="00563ADD"/>
    <w:rsid w:val="0059625C"/>
    <w:rsid w:val="005B2A0C"/>
    <w:rsid w:val="005C0224"/>
    <w:rsid w:val="00644803"/>
    <w:rsid w:val="00647D96"/>
    <w:rsid w:val="006526AF"/>
    <w:rsid w:val="00661933"/>
    <w:rsid w:val="00670EE7"/>
    <w:rsid w:val="006D64B8"/>
    <w:rsid w:val="00725917"/>
    <w:rsid w:val="00755ACA"/>
    <w:rsid w:val="00776E8B"/>
    <w:rsid w:val="00790135"/>
    <w:rsid w:val="007E2BA2"/>
    <w:rsid w:val="00815422"/>
    <w:rsid w:val="0084390F"/>
    <w:rsid w:val="008B1DAE"/>
    <w:rsid w:val="00921AF7"/>
    <w:rsid w:val="00924BEA"/>
    <w:rsid w:val="00937283"/>
    <w:rsid w:val="00970C8C"/>
    <w:rsid w:val="009815EC"/>
    <w:rsid w:val="00996D7F"/>
    <w:rsid w:val="009B2C81"/>
    <w:rsid w:val="009C5D47"/>
    <w:rsid w:val="009F1DC0"/>
    <w:rsid w:val="009F3389"/>
    <w:rsid w:val="009F3EBD"/>
    <w:rsid w:val="00A0794E"/>
    <w:rsid w:val="00A544A3"/>
    <w:rsid w:val="00A55577"/>
    <w:rsid w:val="00A85B23"/>
    <w:rsid w:val="00AD32A1"/>
    <w:rsid w:val="00B02038"/>
    <w:rsid w:val="00B14444"/>
    <w:rsid w:val="00B24452"/>
    <w:rsid w:val="00BC469B"/>
    <w:rsid w:val="00BE2E6E"/>
    <w:rsid w:val="00BF02C5"/>
    <w:rsid w:val="00C011D6"/>
    <w:rsid w:val="00C227EA"/>
    <w:rsid w:val="00C35BBF"/>
    <w:rsid w:val="00CD376A"/>
    <w:rsid w:val="00CD618E"/>
    <w:rsid w:val="00CE057D"/>
    <w:rsid w:val="00D2669C"/>
    <w:rsid w:val="00D34CA9"/>
    <w:rsid w:val="00DB08CA"/>
    <w:rsid w:val="00DC69F7"/>
    <w:rsid w:val="00E128F3"/>
    <w:rsid w:val="00E13A28"/>
    <w:rsid w:val="00E644FC"/>
    <w:rsid w:val="00EB4CCD"/>
    <w:rsid w:val="00F1189D"/>
    <w:rsid w:val="00F6549F"/>
    <w:rsid w:val="00F969F9"/>
    <w:rsid w:val="00FB20D7"/>
    <w:rsid w:val="00F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19B48"/>
  <w15:docId w15:val="{0AF6759B-C5CF-C84C-B421-7AAD5061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character" w:styleId="CommentReference">
    <w:name w:val="annotation reference"/>
    <w:basedOn w:val="DefaultParagraphFont"/>
    <w:uiPriority w:val="99"/>
    <w:semiHidden/>
    <w:unhideWhenUsed/>
    <w:rsid w:val="001722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2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2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F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2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F1"/>
    <w:rPr>
      <w:rFonts w:ascii="Lucida Grande" w:hAnsi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1DC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Nixon</dc:creator>
  <cp:lastModifiedBy>Christopher Lovelace</cp:lastModifiedBy>
  <cp:revision>2</cp:revision>
  <dcterms:created xsi:type="dcterms:W3CDTF">2019-02-12T14:03:00Z</dcterms:created>
  <dcterms:modified xsi:type="dcterms:W3CDTF">2019-02-12T14:03:00Z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-754759381</vt:i4>
  </property>
  <property fmtid="{D5CDD505-2E9C-101B-9397-08002B2CF9AE}" pid="3" name="_NewReviewCycle">
    <vt:lpwstr/>
  </property>
  <property fmtid="{D5CDD505-2E9C-101B-9397-08002B2CF9AE}" pid="4" name="_EmailSubject">
    <vt:lpwstr>CCC Mtg. Minutes</vt:lpwstr>
  </property>
  <property fmtid="{D5CDD505-2E9C-101B-9397-08002B2CF9AE}" pid="5" name="_AuthorEmail">
    <vt:lpwstr>TNIXON@shepherd.edu</vt:lpwstr>
  </property>
  <property fmtid="{D5CDD505-2E9C-101B-9397-08002B2CF9AE}" pid="6" name="_AuthorEmailDisplayName">
    <vt:lpwstr>Timothy Nixon</vt:lpwstr>
  </property>
  <property fmtid="{D5CDD505-2E9C-101B-9397-08002B2CF9AE}" pid="7" name="_ReviewingToolsShownOnce">
    <vt:lpwstr/>
  </property>
</Properties>
</file>